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2FC" w:rsidRPr="001E5E32" w:rsidRDefault="003D30C6" w:rsidP="001E5E32">
      <w:pPr>
        <w:spacing w:after="60"/>
      </w:pPr>
      <w:r w:rsidRPr="001E5E32">
        <w:t>Toolkit</w:t>
      </w:r>
    </w:p>
    <w:p w:rsidR="003D30C6" w:rsidRPr="001E5E32" w:rsidRDefault="003D30C6" w:rsidP="001E5E32">
      <w:pPr>
        <w:spacing w:after="60"/>
      </w:pPr>
      <w:r w:rsidRPr="001E5E32">
        <w:t>Fase preliminare – costituzione e formazione del Gruppo di Lavoro Interno</w:t>
      </w:r>
    </w:p>
    <w:p w:rsidR="003D30C6" w:rsidRPr="001E5E32" w:rsidRDefault="003D30C6" w:rsidP="001E5E32">
      <w:pPr>
        <w:spacing w:after="60"/>
      </w:pPr>
    </w:p>
    <w:p w:rsidR="003D30C6" w:rsidRPr="001E5E32" w:rsidRDefault="003D30C6" w:rsidP="001E5E32">
      <w:pPr>
        <w:spacing w:after="60"/>
        <w:jc w:val="both"/>
        <w:rPr>
          <w:rFonts w:cstheme="minorHAnsi"/>
        </w:rPr>
      </w:pPr>
      <w:r w:rsidRPr="001E5E32">
        <w:rPr>
          <w:rFonts w:cstheme="minorHAnsi"/>
        </w:rPr>
        <w:t xml:space="preserve">Il passaggio preliminare all’avvio di qualunque progettazione di lavoro agile – come di qualunque innovazione organizzativa – è la costituzione di un </w:t>
      </w:r>
      <w:r w:rsidRPr="001E5E32">
        <w:rPr>
          <w:rFonts w:cstheme="minorHAnsi"/>
          <w:b/>
        </w:rPr>
        <w:t>Gruppo di Lavoro Interno</w:t>
      </w:r>
      <w:r w:rsidRPr="001E5E32">
        <w:rPr>
          <w:rFonts w:cstheme="minorHAnsi"/>
        </w:rPr>
        <w:t xml:space="preserve"> all’Amministrazione che possa coordinare il processo, prendendone in carico e monitorandone le diverse fasi, raccogliendo informazioni e dati per la pianificazione e il monitoraggio, rappresentando il “nodo organizzativo” interno per il governo dell’introduzione e messa a sistema del modello di lavoro agile.</w:t>
      </w:r>
    </w:p>
    <w:p w:rsidR="003D30C6" w:rsidRPr="001E5E32" w:rsidRDefault="003D30C6" w:rsidP="001E5E32">
      <w:pPr>
        <w:pStyle w:val="Corpodeltesto1"/>
        <w:spacing w:before="0" w:after="60" w:line="324" w:lineRule="auto"/>
        <w:rPr>
          <w:rFonts w:asciiTheme="minorHAnsi" w:hAnsiTheme="minorHAnsi" w:cstheme="minorHAnsi"/>
          <w:sz w:val="22"/>
          <w:szCs w:val="22"/>
        </w:rPr>
      </w:pPr>
    </w:p>
    <w:p w:rsidR="003D30C6" w:rsidRPr="001E5E32" w:rsidRDefault="003D30C6" w:rsidP="001E5E32">
      <w:pPr>
        <w:spacing w:after="60"/>
        <w:jc w:val="both"/>
        <w:rPr>
          <w:rFonts w:cstheme="minorHAnsi"/>
        </w:rPr>
      </w:pPr>
      <w:r w:rsidRPr="001E5E32">
        <w:rPr>
          <w:rFonts w:cstheme="minorHAnsi"/>
        </w:rPr>
        <w:t xml:space="preserve">Nel caso del lavoro agile, è opportuno che del Gruppo di Lavoro Interno facciano parte referenti di alcuni uffici/servizi </w:t>
      </w:r>
      <w:r w:rsidR="001E5E32" w:rsidRPr="001E5E32">
        <w:rPr>
          <w:rFonts w:cstheme="minorHAnsi"/>
        </w:rPr>
        <w:t>stra</w:t>
      </w:r>
      <w:r w:rsidRPr="001E5E32">
        <w:rPr>
          <w:rFonts w:cstheme="minorHAnsi"/>
        </w:rPr>
        <w:t>tegici</w:t>
      </w:r>
      <w:r w:rsidR="001E5E32" w:rsidRPr="001E5E32">
        <w:rPr>
          <w:rFonts w:cstheme="minorHAnsi"/>
        </w:rPr>
        <w:t xml:space="preserve">. Si suggerisce che il Gruppo di Lavoro Interno sia composto da </w:t>
      </w:r>
      <w:r w:rsidRPr="001E5E32">
        <w:rPr>
          <w:rFonts w:cstheme="minorHAnsi"/>
        </w:rPr>
        <w:t xml:space="preserve">referenti dei seguenti Uffici/Servizi/Dipartimenti: </w:t>
      </w:r>
    </w:p>
    <w:p w:rsidR="003D30C6" w:rsidRPr="001E5E32" w:rsidRDefault="003D30C6" w:rsidP="001E5E32">
      <w:pPr>
        <w:pStyle w:val="Paragrafoelenco"/>
        <w:numPr>
          <w:ilvl w:val="0"/>
          <w:numId w:val="1"/>
        </w:numPr>
        <w:spacing w:after="60" w:line="240" w:lineRule="auto"/>
        <w:contextualSpacing/>
        <w:rPr>
          <w:rFonts w:asciiTheme="minorHAnsi" w:hAnsiTheme="minorHAnsi" w:cstheme="minorHAnsi"/>
          <w:sz w:val="22"/>
          <w:szCs w:val="22"/>
          <w:lang w:val="it-IT"/>
        </w:rPr>
      </w:pPr>
      <w:r w:rsidRPr="001E5E32">
        <w:rPr>
          <w:rFonts w:asciiTheme="minorHAnsi" w:hAnsiTheme="minorHAnsi" w:cstheme="minorHAnsi"/>
          <w:sz w:val="22"/>
          <w:szCs w:val="22"/>
          <w:lang w:val="it-IT"/>
        </w:rPr>
        <w:t>personale e gestione delle risorse umane</w:t>
      </w:r>
    </w:p>
    <w:p w:rsidR="003D30C6" w:rsidRPr="001E5E32" w:rsidRDefault="003D30C6" w:rsidP="001E5E32">
      <w:pPr>
        <w:pStyle w:val="Paragrafoelenco"/>
        <w:numPr>
          <w:ilvl w:val="0"/>
          <w:numId w:val="1"/>
        </w:numPr>
        <w:spacing w:after="60" w:line="240" w:lineRule="auto"/>
        <w:contextualSpacing/>
        <w:rPr>
          <w:rFonts w:asciiTheme="minorHAnsi" w:hAnsiTheme="minorHAnsi" w:cstheme="minorHAnsi"/>
          <w:sz w:val="22"/>
          <w:szCs w:val="22"/>
          <w:lang w:val="it-IT"/>
        </w:rPr>
      </w:pPr>
      <w:r w:rsidRPr="001E5E32">
        <w:rPr>
          <w:rFonts w:asciiTheme="minorHAnsi" w:hAnsiTheme="minorHAnsi" w:cstheme="minorHAnsi"/>
          <w:sz w:val="22"/>
          <w:szCs w:val="22"/>
          <w:lang w:val="it-IT"/>
        </w:rPr>
        <w:t>sistemi informativi e innovazione tecnologica</w:t>
      </w:r>
    </w:p>
    <w:p w:rsidR="003D30C6" w:rsidRPr="001E5E32" w:rsidRDefault="003D30C6" w:rsidP="001E5E32">
      <w:pPr>
        <w:pStyle w:val="Paragrafoelenco"/>
        <w:numPr>
          <w:ilvl w:val="0"/>
          <w:numId w:val="1"/>
        </w:numPr>
        <w:spacing w:after="60" w:line="240" w:lineRule="auto"/>
        <w:contextualSpacing/>
        <w:rPr>
          <w:rFonts w:asciiTheme="minorHAnsi" w:hAnsiTheme="minorHAnsi" w:cstheme="minorHAnsi"/>
          <w:sz w:val="22"/>
          <w:szCs w:val="22"/>
          <w:lang w:val="it-IT"/>
        </w:rPr>
      </w:pPr>
      <w:r w:rsidRPr="001E5E32">
        <w:rPr>
          <w:rFonts w:asciiTheme="minorHAnsi" w:hAnsiTheme="minorHAnsi" w:cstheme="minorHAnsi"/>
          <w:sz w:val="22"/>
          <w:szCs w:val="22"/>
          <w:lang w:val="it-IT"/>
        </w:rPr>
        <w:t>comunicazione interna</w:t>
      </w:r>
    </w:p>
    <w:p w:rsidR="003D30C6" w:rsidRPr="001E5E32" w:rsidRDefault="003D30C6" w:rsidP="001E5E32">
      <w:pPr>
        <w:pStyle w:val="Paragrafoelenco"/>
        <w:numPr>
          <w:ilvl w:val="0"/>
          <w:numId w:val="1"/>
        </w:numPr>
        <w:spacing w:after="60" w:line="240" w:lineRule="auto"/>
        <w:contextualSpacing/>
        <w:rPr>
          <w:rFonts w:asciiTheme="minorHAnsi" w:hAnsiTheme="minorHAnsi" w:cstheme="minorHAnsi"/>
          <w:sz w:val="22"/>
          <w:szCs w:val="22"/>
          <w:lang w:val="it-IT"/>
        </w:rPr>
      </w:pPr>
      <w:r w:rsidRPr="001E5E32">
        <w:rPr>
          <w:rFonts w:asciiTheme="minorHAnsi" w:hAnsiTheme="minorHAnsi" w:cstheme="minorHAnsi"/>
          <w:sz w:val="22"/>
          <w:szCs w:val="22"/>
          <w:lang w:val="it-IT"/>
        </w:rPr>
        <w:t>salute e sicurezza sui luoghi di lavoro</w:t>
      </w:r>
    </w:p>
    <w:p w:rsidR="003D30C6" w:rsidRPr="001E5E32" w:rsidRDefault="003D30C6" w:rsidP="001E5E32">
      <w:pPr>
        <w:spacing w:after="60"/>
        <w:jc w:val="both"/>
        <w:rPr>
          <w:rFonts w:cstheme="minorHAnsi"/>
        </w:rPr>
      </w:pPr>
      <w:r w:rsidRPr="001E5E32">
        <w:rPr>
          <w:rFonts w:cstheme="minorHAnsi"/>
        </w:rPr>
        <w:t>In aggiunta, a seconda delle caratteristiche delle singole Amministrazioni, possono far parte del gruppo di governo anche referenti delle seguenti aree:</w:t>
      </w:r>
    </w:p>
    <w:p w:rsidR="003D30C6" w:rsidRPr="001E5E32" w:rsidRDefault="003D30C6" w:rsidP="001E5E32">
      <w:pPr>
        <w:pStyle w:val="Paragrafoelenco"/>
        <w:numPr>
          <w:ilvl w:val="0"/>
          <w:numId w:val="1"/>
        </w:numPr>
        <w:spacing w:after="60" w:line="240" w:lineRule="auto"/>
        <w:contextualSpacing/>
        <w:rPr>
          <w:rFonts w:asciiTheme="minorHAnsi" w:hAnsiTheme="minorHAnsi" w:cstheme="minorHAnsi"/>
          <w:sz w:val="22"/>
          <w:szCs w:val="22"/>
          <w:lang w:val="it-IT"/>
        </w:rPr>
      </w:pPr>
      <w:r w:rsidRPr="001E5E32">
        <w:rPr>
          <w:rFonts w:asciiTheme="minorHAnsi" w:hAnsiTheme="minorHAnsi" w:cstheme="minorHAnsi"/>
          <w:sz w:val="22"/>
          <w:szCs w:val="22"/>
          <w:lang w:val="it-IT"/>
        </w:rPr>
        <w:t>patrimonio</w:t>
      </w:r>
    </w:p>
    <w:p w:rsidR="003D30C6" w:rsidRPr="001E5E32" w:rsidRDefault="003D30C6" w:rsidP="002D6EFC">
      <w:pPr>
        <w:pStyle w:val="Paragrafoelenco"/>
        <w:numPr>
          <w:ilvl w:val="0"/>
          <w:numId w:val="1"/>
        </w:numPr>
        <w:spacing w:after="60" w:line="240" w:lineRule="auto"/>
        <w:contextualSpacing/>
        <w:rPr>
          <w:rFonts w:asciiTheme="minorHAnsi" w:hAnsiTheme="minorHAnsi" w:cstheme="minorHAnsi"/>
          <w:sz w:val="22"/>
          <w:szCs w:val="22"/>
          <w:lang w:val="it-IT"/>
        </w:rPr>
      </w:pPr>
      <w:r w:rsidRPr="001E5E32">
        <w:rPr>
          <w:rFonts w:asciiTheme="minorHAnsi" w:hAnsiTheme="minorHAnsi" w:cstheme="minorHAnsi"/>
          <w:sz w:val="22"/>
          <w:szCs w:val="22"/>
          <w:lang w:val="it-IT"/>
        </w:rPr>
        <w:t xml:space="preserve">parità e pari </w:t>
      </w:r>
      <w:r w:rsidR="002D6EFC">
        <w:rPr>
          <w:rFonts w:asciiTheme="minorHAnsi" w:hAnsiTheme="minorHAnsi" w:cstheme="minorHAnsi"/>
          <w:sz w:val="22"/>
          <w:szCs w:val="22"/>
          <w:lang w:val="it-IT"/>
        </w:rPr>
        <w:t>opportunità</w:t>
      </w:r>
    </w:p>
    <w:p w:rsidR="001E5E32" w:rsidRDefault="001E5E32" w:rsidP="002D6EFC">
      <w:pPr>
        <w:spacing w:after="60"/>
        <w:jc w:val="both"/>
      </w:pPr>
      <w:r w:rsidRPr="001E5E32">
        <w:rPr>
          <w:caps/>
        </w:rPr>
        <w:t xml:space="preserve">è </w:t>
      </w:r>
      <w:r>
        <w:t>opportuno che i dirigenti di ciascun</w:t>
      </w:r>
      <w:r w:rsidR="002D6EFC">
        <w:t>o di questi</w:t>
      </w:r>
      <w:r>
        <w:t xml:space="preserve"> uffici/servizi vengano debitamente informati e nominino uno o più referenti che prendano parte al Gruppo di Lavoro Interno.</w:t>
      </w:r>
    </w:p>
    <w:p w:rsidR="001E5E32" w:rsidRDefault="001E5E32" w:rsidP="002D6EFC">
      <w:pPr>
        <w:spacing w:after="60"/>
        <w:jc w:val="both"/>
      </w:pPr>
    </w:p>
    <w:p w:rsidR="001E5E32" w:rsidRDefault="001E5E32" w:rsidP="002D6EFC">
      <w:pPr>
        <w:spacing w:after="60"/>
        <w:jc w:val="both"/>
      </w:pPr>
      <w:r>
        <w:t xml:space="preserve">Si suggerisce di prevedere un momento di raccordo iniziale </w:t>
      </w:r>
      <w:r w:rsidR="002D6EFC">
        <w:t xml:space="preserve">e di team building </w:t>
      </w:r>
      <w:r>
        <w:t>tra i componenti del Gruppo di Lavoro</w:t>
      </w:r>
      <w:r w:rsidR="002D6EFC">
        <w:t xml:space="preserve"> Interno</w:t>
      </w:r>
      <w:r>
        <w:t>, con l’obiettivo di condividere:</w:t>
      </w:r>
    </w:p>
    <w:p w:rsidR="001E5E32" w:rsidRDefault="001E5E32" w:rsidP="002D6EFC">
      <w:pPr>
        <w:spacing w:after="60"/>
        <w:jc w:val="both"/>
      </w:pPr>
      <w:r>
        <w:t>- le informazioni sul lavoro agile (che cos’è, che cosa non è, quali sono i benefici, quali sono gli elementi a cui porre attenzione)</w:t>
      </w:r>
    </w:p>
    <w:p w:rsidR="003D30C6" w:rsidRDefault="001E5E32" w:rsidP="002D6EFC">
      <w:pPr>
        <w:spacing w:after="60"/>
        <w:jc w:val="both"/>
      </w:pPr>
      <w:r>
        <w:t>- le diverse fasi del percorso per predisporre, implementare e valutare una sperimentazione interna</w:t>
      </w:r>
    </w:p>
    <w:p w:rsidR="002D6EFC" w:rsidRDefault="002D6EFC" w:rsidP="002D6EFC">
      <w:pPr>
        <w:spacing w:after="60"/>
        <w:jc w:val="both"/>
      </w:pPr>
      <w:r>
        <w:t>- le metodologie e gli strumenti per l’implementazione del lavoro agile e per la comunicazione con i dipendenti</w:t>
      </w:r>
    </w:p>
    <w:p w:rsidR="002D6EFC" w:rsidRPr="001E5E32" w:rsidRDefault="002D6EFC" w:rsidP="002D6EFC">
      <w:pPr>
        <w:spacing w:after="60"/>
        <w:jc w:val="both"/>
      </w:pPr>
      <w:r>
        <w:t xml:space="preserve">Poiché lo scopo di questa attività è aumentare le competenze del Gruppo di Lavoro Interno, con specifico riferimento al lavoro agile, si suggerisce di adottare metodologie partecipate nella gestione della fase preliminare, utilizzando strumenti come brain-storming, </w:t>
      </w:r>
      <w:proofErr w:type="spellStart"/>
      <w:r>
        <w:t>role</w:t>
      </w:r>
      <w:proofErr w:type="spellEnd"/>
      <w:r w:rsidR="00EC77BA">
        <w:t>-</w:t>
      </w:r>
      <w:r>
        <w:t xml:space="preserve">playing, simulazioni, studi di caso. </w:t>
      </w:r>
      <w:bookmarkStart w:id="0" w:name="_GoBack"/>
      <w:bookmarkEnd w:id="0"/>
    </w:p>
    <w:p w:rsidR="001E5E32" w:rsidRPr="001E5E32" w:rsidRDefault="001E5E32" w:rsidP="001E5E32">
      <w:pPr>
        <w:spacing w:after="60"/>
      </w:pPr>
    </w:p>
    <w:sectPr w:rsidR="001E5E32" w:rsidRPr="001E5E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A254C"/>
    <w:multiLevelType w:val="hybridMultilevel"/>
    <w:tmpl w:val="13609DEA"/>
    <w:lvl w:ilvl="0" w:tplc="041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0C6"/>
    <w:rsid w:val="001E5E32"/>
    <w:rsid w:val="002D6EFC"/>
    <w:rsid w:val="003D30C6"/>
    <w:rsid w:val="00C062FC"/>
    <w:rsid w:val="00EC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A0DF"/>
  <w15:chartTrackingRefBased/>
  <w15:docId w15:val="{2C19A145-6578-4077-91E5-FEFD28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1">
    <w:name w:val="Corpo del testo1"/>
    <w:basedOn w:val="Normale"/>
    <w:qFormat/>
    <w:rsid w:val="003D30C6"/>
    <w:pPr>
      <w:spacing w:before="40" w:after="0" w:line="276" w:lineRule="auto"/>
      <w:jc w:val="both"/>
    </w:pPr>
    <w:rPr>
      <w:rFonts w:ascii="Arial" w:eastAsia="Arial" w:hAnsi="Arial" w:cs="Arial"/>
      <w:noProof/>
      <w:w w:val="105"/>
      <w:sz w:val="20"/>
      <w:szCs w:val="21"/>
      <w:lang w:eastAsia="it-IT"/>
    </w:rPr>
  </w:style>
  <w:style w:type="paragraph" w:styleId="Paragrafoelenco">
    <w:name w:val="List Paragraph"/>
    <w:aliases w:val="Elenco Bullet point,Normal bullet 2,Bullet list,Numbered List,List Paragraph1,List Paragraph2,Bullet edison,List Paragraph3,Paragrafo elenco 2,Testo_tabella,Elenco num ARGEA,Table of contents numbered,Titolo linee di attività,Paragraph"/>
    <w:basedOn w:val="Normale"/>
    <w:link w:val="ParagrafoelencoCarattere"/>
    <w:uiPriority w:val="34"/>
    <w:qFormat/>
    <w:rsid w:val="003D30C6"/>
    <w:pPr>
      <w:spacing w:after="0" w:line="312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ragrafoelencoCarattere">
    <w:name w:val="Paragrafo elenco Carattere"/>
    <w:aliases w:val="Elenco Bullet point Carattere,Normal bullet 2 Carattere,Bullet list Carattere,Numbered List Carattere,List Paragraph1 Carattere,List Paragraph2 Carattere,Bullet edison Carattere,List Paragraph3 Carattere,Paragraph Carattere"/>
    <w:link w:val="Paragrafoelenco"/>
    <w:uiPriority w:val="34"/>
    <w:locked/>
    <w:rsid w:val="003D30C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</dc:creator>
  <cp:keywords/>
  <dc:description/>
  <cp:lastModifiedBy>patrizia</cp:lastModifiedBy>
  <cp:revision>5</cp:revision>
  <dcterms:created xsi:type="dcterms:W3CDTF">2019-01-18T10:22:00Z</dcterms:created>
  <dcterms:modified xsi:type="dcterms:W3CDTF">2019-01-18T14:59:00Z</dcterms:modified>
</cp:coreProperties>
</file>